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7" w:rsidRPr="003D49F7" w:rsidRDefault="003D49F7" w:rsidP="003D49F7">
      <w:pPr>
        <w:spacing w:after="100" w:afterAutospacing="1" w:line="240" w:lineRule="atLeast"/>
        <w:outlineLvl w:val="0"/>
        <w:rPr>
          <w:rFonts w:asciiTheme="majorHAnsi" w:eastAsia="Times New Roman" w:hAnsiTheme="majorHAnsi" w:cs="Segoe UI"/>
          <w:kern w:val="36"/>
          <w:sz w:val="24"/>
          <w:szCs w:val="24"/>
        </w:rPr>
      </w:pPr>
      <w:r w:rsidRPr="003D49F7">
        <w:rPr>
          <w:rFonts w:asciiTheme="majorHAnsi" w:eastAsia="Times New Roman" w:hAnsiTheme="majorHAnsi" w:cs="Segoe UI"/>
          <w:kern w:val="36"/>
          <w:sz w:val="24"/>
          <w:szCs w:val="24"/>
        </w:rPr>
        <w:t xml:space="preserve">Following handout is the material taken from following </w:t>
      </w:r>
      <w:proofErr w:type="gramStart"/>
      <w:r w:rsidRPr="003D49F7">
        <w:rPr>
          <w:rFonts w:asciiTheme="majorHAnsi" w:eastAsia="Times New Roman" w:hAnsiTheme="majorHAnsi" w:cs="Segoe UI"/>
          <w:kern w:val="36"/>
          <w:sz w:val="24"/>
          <w:szCs w:val="24"/>
        </w:rPr>
        <w:t>website which</w:t>
      </w:r>
      <w:proofErr w:type="gramEnd"/>
      <w:r w:rsidRPr="003D49F7">
        <w:rPr>
          <w:rFonts w:asciiTheme="majorHAnsi" w:eastAsia="Times New Roman" w:hAnsiTheme="majorHAnsi" w:cs="Segoe UI"/>
          <w:kern w:val="36"/>
          <w:sz w:val="24"/>
          <w:szCs w:val="24"/>
        </w:rPr>
        <w:t xml:space="preserve"> is a good source of learning statistics online. </w:t>
      </w:r>
      <w:hyperlink r:id="rId5" w:history="1">
        <w:r w:rsidRPr="003D49F7">
          <w:rPr>
            <w:rStyle w:val="Hyperlink"/>
            <w:rFonts w:asciiTheme="majorHAnsi" w:eastAsia="Times New Roman" w:hAnsiTheme="majorHAnsi" w:cs="Segoe UI"/>
            <w:color w:val="auto"/>
            <w:kern w:val="36"/>
            <w:sz w:val="24"/>
            <w:szCs w:val="24"/>
          </w:rPr>
          <w:t>http://stattrek.com/sampling/sampling-distribution.aspx?Tutorial=AP</w:t>
        </w:r>
      </w:hyperlink>
      <w:r w:rsidRPr="003D49F7">
        <w:rPr>
          <w:rFonts w:asciiTheme="majorHAnsi" w:eastAsia="Times New Roman" w:hAnsiTheme="majorHAnsi" w:cs="Segoe UI"/>
          <w:kern w:val="36"/>
          <w:sz w:val="24"/>
          <w:szCs w:val="24"/>
        </w:rPr>
        <w:t xml:space="preserve">. The purpose is to encourage you people to discover good website which provide a great platform of self learning </w:t>
      </w:r>
    </w:p>
    <w:p w:rsidR="003D49F7" w:rsidRPr="003D49F7" w:rsidRDefault="003D49F7" w:rsidP="003D49F7">
      <w:pPr>
        <w:spacing w:after="100" w:afterAutospacing="1" w:line="240" w:lineRule="atLeast"/>
        <w:outlineLvl w:val="0"/>
        <w:rPr>
          <w:rFonts w:asciiTheme="majorHAnsi" w:eastAsia="Times New Roman" w:hAnsiTheme="majorHAnsi" w:cs="Segoe UI"/>
          <w:b/>
          <w:kern w:val="36"/>
          <w:sz w:val="24"/>
          <w:szCs w:val="24"/>
        </w:rPr>
      </w:pPr>
      <w:r w:rsidRPr="003D49F7">
        <w:rPr>
          <w:rFonts w:asciiTheme="majorHAnsi" w:eastAsia="Times New Roman" w:hAnsiTheme="majorHAnsi" w:cs="Segoe UI"/>
          <w:b/>
          <w:kern w:val="36"/>
          <w:sz w:val="24"/>
          <w:szCs w:val="24"/>
        </w:rPr>
        <w:t xml:space="preserve">What is a Probability Distribution? 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 probability distribution is a table or an equation that links each outcome of a statistical experiment with its probability of occurrence.</w:t>
      </w:r>
    </w:p>
    <w:p w:rsidR="003D49F7" w:rsidRPr="003D49F7" w:rsidRDefault="003D49F7" w:rsidP="003D49F7">
      <w:pPr>
        <w:spacing w:before="240" w:after="0" w:line="240" w:lineRule="atLeast"/>
        <w:textAlignment w:val="top"/>
        <w:outlineLvl w:val="1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Probability Distribution Prerequisites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To understand probability distributions, it is important to understand variables.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random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variables, and some notation.</w:t>
      </w:r>
    </w:p>
    <w:p w:rsidR="003D49F7" w:rsidRPr="003D49F7" w:rsidRDefault="003D49F7" w:rsidP="003D49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variable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is a symbol (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A</w:t>
      </w:r>
      <w:r w:rsidRPr="003D49F7">
        <w:rPr>
          <w:rFonts w:asciiTheme="majorHAnsi" w:eastAsia="Times New Roman" w:hAnsiTheme="majorHAnsi" w:cs="Segoe UI"/>
          <w:sz w:val="24"/>
          <w:szCs w:val="24"/>
        </w:rPr>
        <w:t>,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B</w:t>
      </w:r>
      <w:r w:rsidRPr="003D49F7">
        <w:rPr>
          <w:rFonts w:asciiTheme="majorHAnsi" w:eastAsia="Times New Roman" w:hAnsiTheme="majorHAnsi" w:cs="Segoe UI"/>
          <w:sz w:val="24"/>
          <w:szCs w:val="24"/>
        </w:rPr>
        <w:t>,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x</w:t>
      </w:r>
      <w:r w:rsidRPr="003D49F7">
        <w:rPr>
          <w:rFonts w:asciiTheme="majorHAnsi" w:eastAsia="Times New Roman" w:hAnsiTheme="majorHAnsi" w:cs="Segoe UI"/>
          <w:sz w:val="24"/>
          <w:szCs w:val="24"/>
        </w:rPr>
        <w:t>,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y</w:t>
      </w:r>
      <w:r w:rsidRPr="003D49F7">
        <w:rPr>
          <w:rFonts w:asciiTheme="majorHAnsi" w:eastAsia="Times New Roman" w:hAnsiTheme="majorHAnsi" w:cs="Segoe UI"/>
          <w:sz w:val="24"/>
          <w:szCs w:val="24"/>
        </w:rPr>
        <w:t>, etc.) that can take on any of a specified set of values.</w:t>
      </w:r>
    </w:p>
    <w:p w:rsidR="003D49F7" w:rsidRPr="003D49F7" w:rsidRDefault="003D49F7" w:rsidP="003D49F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When the value of a variable is the outcome of a </w:t>
      </w:r>
      <w:hyperlink r:id="rId6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statistical experiment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>, that variable is a</w:t>
      </w:r>
      <w:r w:rsidR="00202B8B">
        <w:rPr>
          <w:rFonts w:asciiTheme="majorHAnsi" w:eastAsia="Times New Roman" w:hAnsiTheme="majorHAnsi" w:cs="Segoe UI"/>
          <w:sz w:val="24"/>
          <w:szCs w:val="24"/>
        </w:rPr>
        <w:t xml:space="preserve"> 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random variable</w:t>
      </w:r>
      <w:r w:rsidRPr="003D49F7">
        <w:rPr>
          <w:rFonts w:asciiTheme="majorHAnsi" w:eastAsia="Times New Roman" w:hAnsiTheme="majorHAnsi" w:cs="Segoe UI"/>
          <w:sz w:val="24"/>
          <w:szCs w:val="24"/>
        </w:rPr>
        <w:t>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Generally, statisticians use a capital letter to represent a random variable and a lower-case letter, to represent one of its values. For example,</w:t>
      </w:r>
    </w:p>
    <w:p w:rsidR="003D49F7" w:rsidRPr="003D49F7" w:rsidRDefault="003D49F7" w:rsidP="003D49F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X represents the random variable X.</w:t>
      </w:r>
    </w:p>
    <w:p w:rsidR="003D49F7" w:rsidRPr="003D49F7" w:rsidRDefault="003D49F7" w:rsidP="003D49F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P(X) represents the probability of X.</w:t>
      </w:r>
    </w:p>
    <w:p w:rsidR="003D49F7" w:rsidRPr="003D49F7" w:rsidRDefault="003D49F7" w:rsidP="003D49F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P(X = x) refers to the probability that the random variable X is equal to a particular value, denoted by x. As an example, P(X = 1) refers to the probability that the random variable X is equal to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1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>.</w:t>
      </w:r>
    </w:p>
    <w:p w:rsidR="003D49F7" w:rsidRPr="003D49F7" w:rsidRDefault="003D49F7" w:rsidP="003D49F7">
      <w:pPr>
        <w:spacing w:before="240" w:after="0" w:line="240" w:lineRule="atLeast"/>
        <w:textAlignment w:val="top"/>
        <w:outlineLvl w:val="1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Probability Distributions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An example will make clear the relationship between random variables and probability distributions. Suppose you flip a coin two times. This simple statistical experiment can have four possible outcomes: HH, HT, TH, and TT. Now, let the variable X represent the number of Heads that result from this experiment. The variable X can take on the values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0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>, 1, or 2. In this example, X is a random variable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;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because its value is determined by the outcome of a statistical experiment.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probability distribution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is a table or an equation that links each outcome of a statistical experiment with its probability of occurrence. Consider the coin flip experiment described above. The table below, which associates each outcome with its probability, is an example of a probability distribution.</w:t>
      </w:r>
    </w:p>
    <w:tbl>
      <w:tblPr>
        <w:tblW w:w="0" w:type="auto"/>
        <w:tblCellSpacing w:w="15" w:type="dxa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1672"/>
      </w:tblGrid>
      <w:tr w:rsidR="003D49F7" w:rsidRPr="003D49F7" w:rsidTr="003D49F7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lastRenderedPageBreak/>
              <w:t>Number of heads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Probability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0.50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</w:tr>
    </w:tbl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above table represents the probability distribution of the random variable X.</w:t>
      </w:r>
    </w:p>
    <w:p w:rsidR="003D49F7" w:rsidRPr="003D49F7" w:rsidRDefault="003D49F7" w:rsidP="003D49F7">
      <w:pPr>
        <w:spacing w:before="240" w:after="0" w:line="240" w:lineRule="atLeast"/>
        <w:textAlignment w:val="top"/>
        <w:outlineLvl w:val="1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Cumulative Probability Distributions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cumulative probability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refers to the probability that the value of a random variable falls within a specified range.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Let us return to the coin flip experiment. If we flip a coin two times, we might ask: What is the probability that the coin flips would result in one or fewer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heads?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The answer would be a cumulative probability. It would be the probability that the coin flip experiment results in zero heads </w:t>
      </w:r>
      <w:r w:rsidRPr="003D49F7">
        <w:rPr>
          <w:rFonts w:asciiTheme="majorHAnsi" w:eastAsia="Times New Roman" w:hAnsiTheme="majorHAnsi" w:cs="Segoe UI"/>
          <w:sz w:val="24"/>
          <w:szCs w:val="24"/>
          <w:u w:val="single"/>
        </w:rPr>
        <w:t>plus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the probability that the experiment results in one head.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P(X </w:t>
      </w:r>
      <w:r w:rsidRPr="003D49F7">
        <w:rPr>
          <w:rFonts w:asciiTheme="majorHAnsi" w:eastAsia="Times New Roman" w:hAnsiTheme="majorHAnsi" w:cs="Segoe UI"/>
          <w:sz w:val="24"/>
          <w:szCs w:val="24"/>
          <w:u w:val="single"/>
        </w:rPr>
        <w:t>&lt;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1) = P(X = 0) + P(X = 1) = 0.25 + 0.50 = 0.75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Like a probability distribution, a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cumulative probability distribution can be represented by a table or an equation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>. In the table below, the cumulative probability refers to the probability than the random variable X is less than or equal to x.</w:t>
      </w:r>
    </w:p>
    <w:tbl>
      <w:tblPr>
        <w:tblW w:w="0" w:type="auto"/>
        <w:tblCellSpacing w:w="15" w:type="dxa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1725"/>
        <w:gridCol w:w="3050"/>
      </w:tblGrid>
      <w:tr w:rsidR="003D49F7" w:rsidRPr="003D49F7" w:rsidTr="003D49F7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Number of heads:</w:t>
            </w: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br/>
              <w:t>x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Probability:</w:t>
            </w: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br/>
              <w:t>P(X = x)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Cumulative Probability:</w:t>
            </w: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br/>
              <w:t>P(X </w:t>
            </w: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  <w:u w:val="single"/>
              </w:rPr>
              <w:t>&lt;</w:t>
            </w: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 x)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0.75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1.00</w:t>
            </w:r>
          </w:p>
        </w:tc>
      </w:tr>
    </w:tbl>
    <w:p w:rsidR="00684379" w:rsidRPr="003D49F7" w:rsidRDefault="003D49F7" w:rsidP="006612F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br/>
      </w:r>
    </w:p>
    <w:p w:rsidR="003D49F7" w:rsidRPr="003D49F7" w:rsidRDefault="003D49F7" w:rsidP="003D49F7">
      <w:pPr>
        <w:spacing w:after="100" w:afterAutospacing="1" w:line="240" w:lineRule="atLeast"/>
        <w:outlineLvl w:val="0"/>
        <w:rPr>
          <w:rFonts w:asciiTheme="majorHAnsi" w:eastAsia="Times New Roman" w:hAnsiTheme="majorHAnsi" w:cs="Segoe UI"/>
          <w:kern w:val="36"/>
          <w:sz w:val="24"/>
          <w:szCs w:val="24"/>
        </w:rPr>
      </w:pPr>
      <w:r w:rsidRPr="003D49F7">
        <w:rPr>
          <w:rFonts w:asciiTheme="majorHAnsi" w:eastAsia="Times New Roman" w:hAnsiTheme="majorHAnsi" w:cs="Segoe UI"/>
          <w:kern w:val="36"/>
          <w:sz w:val="24"/>
          <w:szCs w:val="24"/>
        </w:rPr>
        <w:t>Binomial Probability Distribution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To understand binomial distributions and binomial probability, it helps to understand binomial experiments and some associated notation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;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so we cover those topics first.</w:t>
      </w:r>
    </w:p>
    <w:p w:rsidR="003D49F7" w:rsidRPr="003D49F7" w:rsidRDefault="003D49F7" w:rsidP="003D49F7">
      <w:pPr>
        <w:spacing w:before="240" w:after="0" w:line="240" w:lineRule="atLeast"/>
        <w:textAlignment w:val="top"/>
        <w:outlineLvl w:val="1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Binomial Experiment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binomial experiment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is a </w:t>
      </w:r>
      <w:hyperlink r:id="rId7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statistical experiment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> that has the following properties:</w:t>
      </w:r>
    </w:p>
    <w:p w:rsidR="003D49F7" w:rsidRPr="003D49F7" w:rsidRDefault="003D49F7" w:rsidP="003D49F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experiment consists of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repeated trials.</w:t>
      </w:r>
    </w:p>
    <w:p w:rsidR="003D49F7" w:rsidRPr="003D49F7" w:rsidRDefault="003D49F7" w:rsidP="003D49F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Each trial can result in just two possible outcomes. We call one of these outcomes a success and the other, a failure.</w:t>
      </w:r>
    </w:p>
    <w:p w:rsidR="003D49F7" w:rsidRPr="003D49F7" w:rsidRDefault="003D49F7" w:rsidP="003D49F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lastRenderedPageBreak/>
        <w:t>The probability of success, denoted by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>, is the same on every trial.</w:t>
      </w:r>
    </w:p>
    <w:p w:rsidR="003D49F7" w:rsidRPr="003D49F7" w:rsidRDefault="003D49F7" w:rsidP="003D49F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trials are </w:t>
      </w:r>
      <w:hyperlink r:id="rId8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independent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>; that is, the outcome on one trial does not affect the outcome on other trials.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Consider the following statistical experiment. You flip a coin 2 times and count the number of times the coin lands on heads. This is a binomial experiment because:</w:t>
      </w:r>
    </w:p>
    <w:p w:rsidR="003D49F7" w:rsidRPr="003D49F7" w:rsidRDefault="003D49F7" w:rsidP="003D49F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experiment consists of repeated trials. We flip a coin 2 times.</w:t>
      </w:r>
    </w:p>
    <w:p w:rsidR="003D49F7" w:rsidRPr="003D49F7" w:rsidRDefault="003D49F7" w:rsidP="003D49F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Each trial can result in just two possible outcomes - heads or tails.</w:t>
      </w:r>
    </w:p>
    <w:p w:rsidR="003D49F7" w:rsidRPr="003D49F7" w:rsidRDefault="003D49F7" w:rsidP="003D49F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probability of success is constant - 0.5 on every trial.</w:t>
      </w:r>
    </w:p>
    <w:p w:rsidR="003D49F7" w:rsidRPr="003D49F7" w:rsidRDefault="003D49F7" w:rsidP="003D49F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trials are independent; that is, getting heads on one trial does not affect whether we get heads on other trials.</w:t>
      </w:r>
    </w:p>
    <w:p w:rsidR="003D49F7" w:rsidRPr="003D49F7" w:rsidRDefault="003D49F7" w:rsidP="003D49F7">
      <w:pPr>
        <w:spacing w:before="240" w:after="0" w:line="240" w:lineRule="atLeast"/>
        <w:textAlignment w:val="top"/>
        <w:outlineLvl w:val="1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Binomial Distribution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binomial random variable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is the number of successes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x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in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repeated trials of a binomial experiment. The </w:t>
      </w:r>
      <w:hyperlink r:id="rId9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probability distribution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 of a binomial random variable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is called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a </w:t>
      </w:r>
      <w:r w:rsidRPr="003D49F7">
        <w:rPr>
          <w:rFonts w:asciiTheme="majorHAnsi" w:eastAsia="Times New Roman" w:hAnsiTheme="majorHAnsi" w:cs="Segoe UI"/>
          <w:b/>
          <w:bCs/>
          <w:sz w:val="24"/>
          <w:szCs w:val="24"/>
        </w:rPr>
        <w:t>binomial distribution</w:t>
      </w:r>
      <w:r w:rsidRPr="003D49F7">
        <w:rPr>
          <w:rFonts w:asciiTheme="majorHAnsi" w:eastAsia="Times New Roman" w:hAnsiTheme="majorHAnsi" w:cs="Segoe UI"/>
          <w:sz w:val="24"/>
          <w:szCs w:val="24"/>
        </w:rPr>
        <w:t>.</w:t>
      </w:r>
    </w:p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Suppose we flip a coin two times and count the number of heads (successes). The binomial random variable is the number of heads, which can take on values of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0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, 1, or 2. The binomial distribution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is presented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below.</w:t>
      </w:r>
    </w:p>
    <w:tbl>
      <w:tblPr>
        <w:tblW w:w="0" w:type="auto"/>
        <w:tblCellSpacing w:w="15" w:type="dxa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1672"/>
      </w:tblGrid>
      <w:tr w:rsidR="003D49F7" w:rsidRPr="003D49F7" w:rsidTr="003D49F7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Number of heads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ind w:left="120" w:right="120"/>
              <w:jc w:val="center"/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b/>
                <w:bCs/>
                <w:sz w:val="24"/>
                <w:szCs w:val="24"/>
              </w:rPr>
              <w:t>Probability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0.50</w:t>
            </w:r>
          </w:p>
        </w:tc>
      </w:tr>
      <w:tr w:rsidR="003D49F7" w:rsidRPr="003D49F7" w:rsidTr="003D4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9F7" w:rsidRPr="003D49F7" w:rsidRDefault="003D49F7" w:rsidP="003D49F7">
            <w:pPr>
              <w:spacing w:after="0" w:line="240" w:lineRule="atLeast"/>
              <w:jc w:val="center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3D49F7">
              <w:rPr>
                <w:rFonts w:asciiTheme="majorHAnsi" w:eastAsia="Times New Roman" w:hAnsiTheme="majorHAnsi" w:cs="Segoe UI"/>
                <w:sz w:val="24"/>
                <w:szCs w:val="24"/>
              </w:rPr>
              <w:t>0.25</w:t>
            </w:r>
          </w:p>
        </w:tc>
      </w:tr>
    </w:tbl>
    <w:p w:rsidR="003D49F7" w:rsidRPr="003D49F7" w:rsidRDefault="003D49F7" w:rsidP="003D49F7">
      <w:pPr>
        <w:spacing w:before="100" w:beforeAutospacing="1" w:after="100" w:afterAutospacing="1" w:line="24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binomial distribution has the following properties:</w:t>
      </w:r>
    </w:p>
    <w:p w:rsidR="003D49F7" w:rsidRPr="003D49F7" w:rsidRDefault="003D49F7" w:rsidP="003D49F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 mean of the distribution (</w:t>
      </w:r>
      <w:proofErr w:type="spellStart"/>
      <w:r w:rsidRPr="003D49F7">
        <w:rPr>
          <w:rFonts w:asciiTheme="majorHAnsi" w:eastAsia="Times New Roman" w:hAnsiTheme="majorHAnsi" w:cs="Segoe UI"/>
          <w:sz w:val="24"/>
          <w:szCs w:val="24"/>
        </w:rPr>
        <w:t>μ</w:t>
      </w:r>
      <w:r w:rsidRPr="003D49F7">
        <w:rPr>
          <w:rFonts w:asciiTheme="majorHAnsi" w:eastAsia="Times New Roman" w:hAnsiTheme="majorHAnsi" w:cs="Segoe UI"/>
          <w:sz w:val="24"/>
          <w:szCs w:val="24"/>
          <w:vertAlign w:val="subscript"/>
        </w:rPr>
        <w:t>x</w:t>
      </w:r>
      <w:proofErr w:type="spellEnd"/>
      <w:r w:rsidRPr="003D49F7">
        <w:rPr>
          <w:rFonts w:asciiTheme="majorHAnsi" w:eastAsia="Times New Roman" w:hAnsiTheme="majorHAnsi" w:cs="Segoe UI"/>
          <w:sz w:val="24"/>
          <w:szCs w:val="24"/>
        </w:rPr>
        <w:t>) is equal to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* </w:t>
      </w:r>
      <w:proofErr w:type="gramStart"/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.</w:t>
      </w:r>
      <w:proofErr w:type="gramEnd"/>
    </w:p>
    <w:p w:rsidR="003D49F7" w:rsidRPr="003D49F7" w:rsidRDefault="003D49F7" w:rsidP="003D49F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 </w:t>
      </w:r>
      <w:hyperlink r:id="rId10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variance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> (σ</w:t>
      </w:r>
      <w:r w:rsidRPr="003D49F7">
        <w:rPr>
          <w:rFonts w:asciiTheme="majorHAnsi" w:eastAsia="Times New Roman" w:hAnsiTheme="majorHAnsi" w:cs="Segoe UI"/>
          <w:sz w:val="24"/>
          <w:szCs w:val="24"/>
          <w:vertAlign w:val="superscript"/>
        </w:rPr>
        <w:t>2</w:t>
      </w:r>
      <w:r w:rsidRPr="003D49F7">
        <w:rPr>
          <w:rFonts w:asciiTheme="majorHAnsi" w:eastAsia="Times New Roman" w:hAnsiTheme="majorHAnsi" w:cs="Segoe UI"/>
          <w:sz w:val="24"/>
          <w:szCs w:val="24"/>
          <w:vertAlign w:val="subscript"/>
        </w:rPr>
        <w:t>x</w:t>
      </w:r>
      <w:r w:rsidRPr="003D49F7">
        <w:rPr>
          <w:rFonts w:asciiTheme="majorHAnsi" w:eastAsia="Times New Roman" w:hAnsiTheme="majorHAnsi" w:cs="Segoe UI"/>
          <w:sz w:val="24"/>
          <w:szCs w:val="24"/>
        </w:rPr>
        <w:t>) is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*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 * </w:t>
      </w:r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( 1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 -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).</w:t>
      </w:r>
    </w:p>
    <w:p w:rsidR="003D49F7" w:rsidRPr="003D49F7" w:rsidRDefault="003D49F7" w:rsidP="003D49F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HAnsi" w:eastAsia="Times New Roman" w:hAnsiTheme="majorHAnsi" w:cs="Segoe UI"/>
          <w:sz w:val="24"/>
          <w:szCs w:val="24"/>
        </w:rPr>
      </w:pPr>
      <w:r w:rsidRPr="003D49F7">
        <w:rPr>
          <w:rFonts w:asciiTheme="majorHAnsi" w:eastAsia="Times New Roman" w:hAnsiTheme="majorHAnsi" w:cs="Segoe UI"/>
          <w:sz w:val="24"/>
          <w:szCs w:val="24"/>
        </w:rPr>
        <w:t>The </w:t>
      </w:r>
      <w:hyperlink r:id="rId11" w:history="1">
        <w:r w:rsidRPr="003D49F7">
          <w:rPr>
            <w:rFonts w:asciiTheme="majorHAnsi" w:eastAsia="Times New Roman" w:hAnsiTheme="majorHAnsi" w:cs="Segoe UI"/>
            <w:sz w:val="24"/>
            <w:szCs w:val="24"/>
          </w:rPr>
          <w:t>standard deviation</w:t>
        </w:r>
      </w:hyperlink>
      <w:r w:rsidRPr="003D49F7">
        <w:rPr>
          <w:rFonts w:asciiTheme="majorHAnsi" w:eastAsia="Times New Roman" w:hAnsiTheme="majorHAnsi" w:cs="Segoe UI"/>
          <w:sz w:val="24"/>
          <w:szCs w:val="24"/>
        </w:rPr>
        <w:t> (</w:t>
      </w:r>
      <w:proofErr w:type="spellStart"/>
      <w:r w:rsidRPr="003D49F7">
        <w:rPr>
          <w:rFonts w:asciiTheme="majorHAnsi" w:eastAsia="Times New Roman" w:hAnsiTheme="majorHAnsi" w:cs="Segoe UI"/>
          <w:sz w:val="24"/>
          <w:szCs w:val="24"/>
        </w:rPr>
        <w:t>σ</w:t>
      </w:r>
      <w:r w:rsidRPr="003D49F7">
        <w:rPr>
          <w:rFonts w:asciiTheme="majorHAnsi" w:eastAsia="Times New Roman" w:hAnsiTheme="majorHAnsi" w:cs="Segoe UI"/>
          <w:sz w:val="24"/>
          <w:szCs w:val="24"/>
          <w:vertAlign w:val="subscript"/>
        </w:rPr>
        <w:t>x</w:t>
      </w:r>
      <w:proofErr w:type="spellEnd"/>
      <w:r w:rsidRPr="003D49F7">
        <w:rPr>
          <w:rFonts w:asciiTheme="majorHAnsi" w:eastAsia="Times New Roman" w:hAnsiTheme="majorHAnsi" w:cs="Segoe UI"/>
          <w:sz w:val="24"/>
          <w:szCs w:val="24"/>
        </w:rPr>
        <w:t xml:space="preserve">) is </w:t>
      </w:r>
      <w:proofErr w:type="spellStart"/>
      <w:proofErr w:type="gramStart"/>
      <w:r w:rsidRPr="003D49F7">
        <w:rPr>
          <w:rFonts w:asciiTheme="majorHAnsi" w:eastAsia="Times New Roman" w:hAnsiTheme="majorHAnsi" w:cs="Segoe UI"/>
          <w:sz w:val="24"/>
          <w:szCs w:val="24"/>
        </w:rPr>
        <w:t>sqrt</w:t>
      </w:r>
      <w:proofErr w:type="spellEnd"/>
      <w:r w:rsidRPr="003D49F7">
        <w:rPr>
          <w:rFonts w:asciiTheme="majorHAnsi" w:eastAsia="Times New Roman" w:hAnsiTheme="majorHAnsi" w:cs="Segoe UI"/>
          <w:sz w:val="24"/>
          <w:szCs w:val="24"/>
        </w:rPr>
        <w:t>[</w:t>
      </w:r>
      <w:proofErr w:type="gramEnd"/>
      <w:r w:rsidRPr="003D49F7">
        <w:rPr>
          <w:rFonts w:asciiTheme="majorHAnsi" w:eastAsia="Times New Roman" w:hAnsiTheme="majorHAnsi" w:cs="Segoe UI"/>
          <w:sz w:val="24"/>
          <w:szCs w:val="24"/>
        </w:rPr>
        <w:t>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n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*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* ( 1 - </w:t>
      </w:r>
      <w:r w:rsidRPr="003D49F7">
        <w:rPr>
          <w:rFonts w:asciiTheme="majorHAnsi" w:eastAsia="Times New Roman" w:hAnsiTheme="majorHAnsi" w:cs="Segoe UI"/>
          <w:i/>
          <w:iCs/>
          <w:sz w:val="24"/>
          <w:szCs w:val="24"/>
        </w:rPr>
        <w:t>P</w:t>
      </w:r>
      <w:r w:rsidRPr="003D49F7">
        <w:rPr>
          <w:rFonts w:asciiTheme="majorHAnsi" w:eastAsia="Times New Roman" w:hAnsiTheme="majorHAnsi" w:cs="Segoe UI"/>
          <w:sz w:val="24"/>
          <w:szCs w:val="24"/>
        </w:rPr>
        <w:t> ) ].</w:t>
      </w:r>
    </w:p>
    <w:p w:rsidR="003D49F7" w:rsidRPr="003D49F7" w:rsidRDefault="003D49F7">
      <w:pPr>
        <w:rPr>
          <w:rFonts w:asciiTheme="majorHAnsi" w:hAnsiTheme="majorHAnsi"/>
          <w:sz w:val="24"/>
          <w:szCs w:val="24"/>
        </w:rPr>
      </w:pPr>
    </w:p>
    <w:sectPr w:rsidR="003D49F7" w:rsidRPr="003D49F7" w:rsidSect="0006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744"/>
    <w:multiLevelType w:val="multilevel"/>
    <w:tmpl w:val="475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EC9"/>
    <w:multiLevelType w:val="multilevel"/>
    <w:tmpl w:val="3088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11112"/>
    <w:multiLevelType w:val="multilevel"/>
    <w:tmpl w:val="184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C716B"/>
    <w:multiLevelType w:val="multilevel"/>
    <w:tmpl w:val="DA9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4B16"/>
    <w:multiLevelType w:val="multilevel"/>
    <w:tmpl w:val="8812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84631"/>
    <w:multiLevelType w:val="multilevel"/>
    <w:tmpl w:val="27C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9F7"/>
    <w:rsid w:val="00065780"/>
    <w:rsid w:val="00202B8B"/>
    <w:rsid w:val="003D49F7"/>
    <w:rsid w:val="0052067E"/>
    <w:rsid w:val="006612F9"/>
    <w:rsid w:val="007125B9"/>
    <w:rsid w:val="00E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80"/>
  </w:style>
  <w:style w:type="paragraph" w:styleId="Heading1">
    <w:name w:val="heading 1"/>
    <w:basedOn w:val="Normal"/>
    <w:link w:val="Heading1Char"/>
    <w:uiPriority w:val="9"/>
    <w:qFormat/>
    <w:rsid w:val="003D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4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49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49F7"/>
  </w:style>
  <w:style w:type="character" w:styleId="Strong">
    <w:name w:val="Strong"/>
    <w:basedOn w:val="DefaultParagraphFont"/>
    <w:uiPriority w:val="22"/>
    <w:qFormat/>
    <w:rsid w:val="003D49F7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440">
          <w:marLeft w:val="0"/>
          <w:marRight w:val="0"/>
          <w:marTop w:val="0"/>
          <w:marBottom w:val="0"/>
          <w:divBdr>
            <w:top w:val="single" w:sz="4" w:space="6" w:color="7B68EE"/>
            <w:left w:val="single" w:sz="4" w:space="6" w:color="7B68EE"/>
            <w:bottom w:val="single" w:sz="4" w:space="6" w:color="7B68EE"/>
            <w:right w:val="single" w:sz="4" w:space="3" w:color="7B68EE"/>
          </w:divBdr>
        </w:div>
      </w:divsChild>
    </w:div>
    <w:div w:id="518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trek.com/Help/Glossary.aspx?Target=Independ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trek.com/Help/Glossary.aspx?Target=Statistical_experi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trek.com/Help/Glossary.aspx?Target=Statistical_experiment" TargetMode="External"/><Relationship Id="rId11" Type="http://schemas.openxmlformats.org/officeDocument/2006/relationships/hyperlink" Target="http://stattrek.com/Help/Glossary.aspx?Target=Standard%20deviation" TargetMode="External"/><Relationship Id="rId5" Type="http://schemas.openxmlformats.org/officeDocument/2006/relationships/hyperlink" Target="http://stattrek.com/sampling/sampling-distribution.aspx?Tutorial=AP" TargetMode="External"/><Relationship Id="rId10" Type="http://schemas.openxmlformats.org/officeDocument/2006/relationships/hyperlink" Target="http://stattrek.com/Help/Glossary.aspx?Target=Var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trek.com/Help/Glossary.aspx?Target=Probability_distrib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Fccollege</dc:creator>
  <cp:keywords/>
  <dc:description/>
  <cp:lastModifiedBy>Fccollege</cp:lastModifiedBy>
  <cp:revision>2</cp:revision>
  <dcterms:created xsi:type="dcterms:W3CDTF">2017-05-04T07:18:00Z</dcterms:created>
  <dcterms:modified xsi:type="dcterms:W3CDTF">2017-05-04T07:42:00Z</dcterms:modified>
</cp:coreProperties>
</file>